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DD852" w14:textId="77777777" w:rsidR="00A91877" w:rsidRDefault="00A91877" w:rsidP="00B62FE3">
      <w:pPr>
        <w:pStyle w:val="Heading1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 w:rsidRPr="009F43EB">
        <w:rPr>
          <w:rFonts w:ascii="Book Antiqua" w:hAnsi="Book Antiqua"/>
          <w:sz w:val="40"/>
          <w:szCs w:val="40"/>
        </w:rPr>
        <w:t xml:space="preserve">The Richard Doll Seminars </w:t>
      </w:r>
      <w:r w:rsidRPr="009F43EB">
        <w:rPr>
          <w:rFonts w:ascii="Book Antiqua" w:hAnsi="Book Antiqua"/>
          <w:sz w:val="40"/>
          <w:szCs w:val="40"/>
        </w:rPr>
        <w:br/>
        <w:t xml:space="preserve">in Public Health and </w:t>
      </w:r>
      <w:r w:rsidR="00335018" w:rsidRPr="009F43EB">
        <w:rPr>
          <w:rFonts w:ascii="Book Antiqua" w:hAnsi="Book Antiqua"/>
          <w:sz w:val="40"/>
          <w:szCs w:val="40"/>
        </w:rPr>
        <w:t>E</w:t>
      </w:r>
      <w:r w:rsidRPr="009F43EB">
        <w:rPr>
          <w:rFonts w:ascii="Book Antiqua" w:hAnsi="Book Antiqua"/>
          <w:sz w:val="40"/>
          <w:szCs w:val="40"/>
        </w:rPr>
        <w:t>pidemiology</w:t>
      </w:r>
    </w:p>
    <w:p w14:paraId="3C54EC19" w14:textId="77777777" w:rsidR="00684A4E" w:rsidRPr="00684A4E" w:rsidRDefault="00684A4E" w:rsidP="00D910AE">
      <w:pPr>
        <w:pStyle w:val="Heading1"/>
        <w:spacing w:before="0" w:beforeAutospacing="0" w:after="0" w:afterAutospacing="0"/>
        <w:rPr>
          <w:rFonts w:ascii="Book Antiqua" w:hAnsi="Book Antiqua"/>
          <w:sz w:val="8"/>
          <w:szCs w:val="8"/>
        </w:rPr>
      </w:pPr>
    </w:p>
    <w:p w14:paraId="20F24796" w14:textId="77777777" w:rsidR="005F6A08" w:rsidRDefault="005F6A08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32"/>
          <w:szCs w:val="32"/>
        </w:rPr>
      </w:pPr>
      <w:r w:rsidRPr="001F3BD5">
        <w:rPr>
          <w:rFonts w:ascii="Garamond" w:hAnsi="Garamond"/>
          <w:color w:val="002060"/>
          <w:sz w:val="32"/>
          <w:szCs w:val="32"/>
        </w:rPr>
        <w:t>Nuffield Department of Population Health, University of Oxford</w:t>
      </w:r>
    </w:p>
    <w:p w14:paraId="09B10A6E" w14:textId="77777777" w:rsidR="009F25C6" w:rsidRPr="003A6122" w:rsidRDefault="009F25C6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16"/>
          <w:szCs w:val="16"/>
        </w:rPr>
      </w:pPr>
    </w:p>
    <w:p w14:paraId="67E9D5A1" w14:textId="77777777" w:rsidR="001F3BD5" w:rsidRPr="001F3BD5" w:rsidRDefault="001F3BD5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16"/>
          <w:szCs w:val="16"/>
        </w:rPr>
      </w:pPr>
    </w:p>
    <w:p w14:paraId="10B5801F" w14:textId="7E7EE77D" w:rsidR="00B62FE3" w:rsidRPr="009F43EB" w:rsidRDefault="009E5715" w:rsidP="00B62FE3">
      <w:pPr>
        <w:pStyle w:val="NormalWeb"/>
        <w:spacing w:before="0" w:beforeAutospacing="0" w:after="0" w:afterAutospacing="0"/>
        <w:jc w:val="center"/>
        <w:rPr>
          <w:rStyle w:val="Strong"/>
          <w:rFonts w:ascii="Book Antiqua" w:hAnsi="Book Antiqua"/>
          <w:sz w:val="22"/>
          <w:szCs w:val="22"/>
        </w:rPr>
      </w:pPr>
      <w:r>
        <w:rPr>
          <w:rStyle w:val="Strong"/>
          <w:rFonts w:ascii="Book Antiqua" w:hAnsi="Book Antiqua"/>
        </w:rPr>
        <w:t xml:space="preserve">Hilary </w:t>
      </w:r>
      <w:r w:rsidR="007A488D" w:rsidRPr="00C849B9">
        <w:rPr>
          <w:rStyle w:val="Strong"/>
          <w:rFonts w:ascii="Book Antiqua" w:hAnsi="Book Antiqua"/>
        </w:rPr>
        <w:t xml:space="preserve">Term </w:t>
      </w:r>
      <w:r w:rsidR="002841E0" w:rsidRPr="00C849B9">
        <w:rPr>
          <w:rStyle w:val="Strong"/>
          <w:rFonts w:ascii="Book Antiqua" w:hAnsi="Book Antiqua"/>
        </w:rPr>
        <w:t>(</w:t>
      </w:r>
      <w:r>
        <w:rPr>
          <w:rStyle w:val="Strong"/>
          <w:rFonts w:ascii="Book Antiqua" w:hAnsi="Book Antiqua"/>
        </w:rPr>
        <w:t>January t</w:t>
      </w:r>
      <w:r w:rsidR="008109DA">
        <w:rPr>
          <w:rStyle w:val="Strong"/>
          <w:rFonts w:ascii="Book Antiqua" w:hAnsi="Book Antiqua"/>
        </w:rPr>
        <w:t xml:space="preserve">o </w:t>
      </w:r>
      <w:r>
        <w:rPr>
          <w:rStyle w:val="Strong"/>
          <w:rFonts w:ascii="Book Antiqua" w:hAnsi="Book Antiqua"/>
        </w:rPr>
        <w:t>March</w:t>
      </w:r>
      <w:r w:rsidR="002841E0">
        <w:rPr>
          <w:rStyle w:val="Strong"/>
          <w:rFonts w:ascii="Book Antiqua" w:hAnsi="Book Antiqua"/>
        </w:rPr>
        <w:t>)</w:t>
      </w:r>
      <w:r w:rsidR="005323FC" w:rsidRPr="009F43EB">
        <w:rPr>
          <w:rStyle w:val="Strong"/>
          <w:rFonts w:ascii="Book Antiqua" w:hAnsi="Book Antiqua"/>
        </w:rPr>
        <w:t xml:space="preserve"> </w:t>
      </w:r>
      <w:r w:rsidR="00A91877" w:rsidRPr="009F43EB">
        <w:rPr>
          <w:rStyle w:val="Strong"/>
          <w:rFonts w:ascii="Book Antiqua" w:hAnsi="Book Antiqua"/>
        </w:rPr>
        <w:t>20</w:t>
      </w:r>
      <w:r w:rsidR="0042322E" w:rsidRPr="009F43EB">
        <w:rPr>
          <w:rStyle w:val="Strong"/>
          <w:rFonts w:ascii="Book Antiqua" w:hAnsi="Book Antiqua"/>
        </w:rPr>
        <w:t>1</w:t>
      </w:r>
      <w:r w:rsidR="00233230">
        <w:rPr>
          <w:rStyle w:val="Strong"/>
          <w:rFonts w:ascii="Book Antiqua" w:hAnsi="Book Antiqua"/>
        </w:rPr>
        <w:t>9</w:t>
      </w:r>
      <w:r w:rsidR="009F43EB">
        <w:rPr>
          <w:rStyle w:val="Strong"/>
          <w:rFonts w:ascii="Book Antiqua" w:hAnsi="Book Antiqua"/>
        </w:rPr>
        <w:t xml:space="preserve"> </w:t>
      </w:r>
      <w:r w:rsidR="003B004B">
        <w:rPr>
          <w:rStyle w:val="Strong"/>
          <w:rFonts w:ascii="Book Antiqua" w:hAnsi="Book Antiqua"/>
        </w:rPr>
        <w:t>at</w:t>
      </w:r>
      <w:r w:rsidR="003B004B">
        <w:rPr>
          <w:rStyle w:val="Strong"/>
          <w:rFonts w:ascii="Book Antiqua" w:hAnsi="Book Antiqua"/>
          <w:sz w:val="22"/>
          <w:szCs w:val="22"/>
        </w:rPr>
        <w:t xml:space="preserve"> 1-2pm</w:t>
      </w:r>
    </w:p>
    <w:p w14:paraId="1E00D7B1" w14:textId="77777777" w:rsidR="00A91877" w:rsidRDefault="00A91877" w:rsidP="00B62FE3">
      <w:pPr>
        <w:pStyle w:val="NormalWeb"/>
        <w:spacing w:before="0" w:beforeAutospacing="0" w:after="0" w:afterAutospacing="0"/>
        <w:jc w:val="center"/>
        <w:rPr>
          <w:rStyle w:val="textit"/>
          <w:rFonts w:ascii="Book Antiqua" w:hAnsi="Book Antiqua"/>
          <w:b/>
          <w:bCs/>
          <w:i/>
        </w:rPr>
      </w:pPr>
      <w:r w:rsidRPr="009F43EB">
        <w:rPr>
          <w:rStyle w:val="textit"/>
          <w:rFonts w:ascii="Book Antiqua" w:hAnsi="Book Antiqua"/>
          <w:b/>
          <w:bCs/>
          <w:i/>
        </w:rPr>
        <w:t>Lecture Theatre, Richard Doll Building, Old Road Campus</w:t>
      </w:r>
    </w:p>
    <w:p w14:paraId="215F5E25" w14:textId="77777777" w:rsidR="009F25C6" w:rsidRDefault="009F25C6" w:rsidP="002E0C06">
      <w:pPr>
        <w:pStyle w:val="NormalWeb"/>
        <w:spacing w:before="0" w:beforeAutospacing="0" w:after="0" w:afterAutospacing="0"/>
        <w:rPr>
          <w:rStyle w:val="textit"/>
          <w:rFonts w:ascii="Book Antiqua" w:hAnsi="Book Antiqua"/>
          <w:b/>
          <w:bCs/>
          <w:i/>
        </w:rPr>
      </w:pPr>
    </w:p>
    <w:tbl>
      <w:tblPr>
        <w:tblStyle w:val="LightShading"/>
        <w:tblW w:w="9923" w:type="dxa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1191"/>
        <w:gridCol w:w="8732"/>
      </w:tblGrid>
      <w:tr w:rsidR="00CB4EE1" w:rsidRPr="00CB4EE1" w14:paraId="478D84D5" w14:textId="77777777" w:rsidTr="002E6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191" w:type="dxa"/>
            <w:tcBorders>
              <w:top w:val="thinThickThinSmallGap" w:sz="12" w:space="0" w:color="auto"/>
              <w:bottom w:val="nil"/>
            </w:tcBorders>
            <w:vAlign w:val="center"/>
          </w:tcPr>
          <w:p w14:paraId="62AB77CC" w14:textId="651C8E80" w:rsidR="00CB4EE1" w:rsidRPr="00B32723" w:rsidRDefault="009E5715" w:rsidP="009E5715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 w:val="0"/>
                <w:bCs w:val="0"/>
              </w:rPr>
            </w:pPr>
            <w:r>
              <w:rPr>
                <w:rStyle w:val="textit"/>
                <w:rFonts w:asciiTheme="minorHAnsi" w:hAnsiTheme="minorHAnsi"/>
                <w:b w:val="0"/>
                <w:bCs w:val="0"/>
              </w:rPr>
              <w:t>1</w:t>
            </w:r>
            <w:r w:rsidR="00233230">
              <w:rPr>
                <w:rStyle w:val="textit"/>
                <w:rFonts w:asciiTheme="minorHAnsi" w:hAnsiTheme="minorHAnsi"/>
                <w:b w:val="0"/>
                <w:bCs w:val="0"/>
              </w:rPr>
              <w:t>5</w:t>
            </w:r>
            <w:r w:rsidRPr="009E5715">
              <w:rPr>
                <w:rStyle w:val="textit"/>
                <w:rFonts w:asciiTheme="minorHAnsi" w:hAnsiTheme="minorHAnsi"/>
                <w:b w:val="0"/>
                <w:bCs w:val="0"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 w:val="0"/>
                <w:bCs w:val="0"/>
              </w:rPr>
              <w:t xml:space="preserve"> Jan</w:t>
            </w:r>
          </w:p>
        </w:tc>
        <w:tc>
          <w:tcPr>
            <w:tcW w:w="8732" w:type="dxa"/>
            <w:tcBorders>
              <w:top w:val="thinThickThinSmallGap" w:sz="12" w:space="0" w:color="auto"/>
              <w:bottom w:val="nil"/>
            </w:tcBorders>
            <w:vAlign w:val="center"/>
          </w:tcPr>
          <w:p w14:paraId="671FBC73" w14:textId="55E93F8F" w:rsidR="00CB4EE1" w:rsidRPr="00B32723" w:rsidRDefault="00233230" w:rsidP="009E5715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 w:val="0"/>
              </w:rPr>
            </w:pPr>
            <w:r w:rsidRPr="00233230">
              <w:rPr>
                <w:rStyle w:val="textit"/>
                <w:rFonts w:asciiTheme="minorHAnsi" w:hAnsiTheme="minorHAnsi"/>
                <w:bCs w:val="0"/>
              </w:rPr>
              <w:t>Dr Tyler Seibert</w:t>
            </w:r>
          </w:p>
        </w:tc>
      </w:tr>
      <w:tr w:rsidR="00CB4EE1" w:rsidRPr="00411ED0" w14:paraId="1B88D2FD" w14:textId="77777777" w:rsidTr="002E6FE2">
        <w:trPr>
          <w:trHeight w:val="227"/>
        </w:trPr>
        <w:tc>
          <w:tcPr>
            <w:tcW w:w="1191" w:type="dxa"/>
            <w:tcBorders>
              <w:top w:val="nil"/>
            </w:tcBorders>
            <w:vAlign w:val="center"/>
          </w:tcPr>
          <w:p w14:paraId="1B2DBF4A" w14:textId="77777777" w:rsidR="00CB4EE1" w:rsidRPr="00411ED0" w:rsidRDefault="00CB4EE1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tcBorders>
              <w:top w:val="nil"/>
            </w:tcBorders>
            <w:vAlign w:val="center"/>
          </w:tcPr>
          <w:p w14:paraId="4510408A" w14:textId="272114C2" w:rsidR="00CB4EE1" w:rsidRPr="00411ED0" w:rsidRDefault="009E5715" w:rsidP="00A201A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University of </w:t>
            </w:r>
            <w:r w:rsidR="00233230" w:rsidRP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California San Diego</w:t>
            </w:r>
          </w:p>
        </w:tc>
      </w:tr>
      <w:tr w:rsidR="00CB4EE1" w:rsidRPr="00CB4EE1" w14:paraId="1F20B94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6B12FA1E" w14:textId="77777777" w:rsidR="00CB4EE1" w:rsidRPr="00CB4EE1" w:rsidRDefault="00CB4EE1" w:rsidP="00AE5F7F">
            <w:pPr>
              <w:pStyle w:val="NormalWeb"/>
              <w:spacing w:before="40" w:beforeAutospacing="0" w:after="12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5212324E" w14:textId="659AD08F" w:rsidR="00CB4EE1" w:rsidRPr="003B004B" w:rsidRDefault="00233230" w:rsidP="00AE5F7F">
            <w:pPr>
              <w:pStyle w:val="NormalWeb"/>
              <w:spacing w:before="40" w:beforeAutospacing="0" w:after="12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A genetic risk score to guide personalized, age-specific prostate cancer screening</w:t>
            </w:r>
          </w:p>
        </w:tc>
      </w:tr>
      <w:tr w:rsidR="00AE5F7F" w:rsidRPr="00CB4EE1" w14:paraId="7BF03644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5706B3A" w14:textId="0A4D6CD7" w:rsidR="00AE5F7F" w:rsidRPr="00E646DF" w:rsidRDefault="009E5715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color w:val="auto"/>
              </w:rPr>
            </w:pPr>
            <w:r w:rsidRPr="00E646DF">
              <w:rPr>
                <w:rStyle w:val="textit"/>
                <w:rFonts w:asciiTheme="minorHAnsi" w:hAnsiTheme="minorHAnsi"/>
                <w:bCs/>
                <w:color w:val="auto"/>
              </w:rPr>
              <w:t>2</w:t>
            </w:r>
            <w:r w:rsidR="00233230">
              <w:rPr>
                <w:rStyle w:val="textit"/>
                <w:rFonts w:asciiTheme="minorHAnsi" w:hAnsiTheme="minorHAnsi"/>
                <w:bCs/>
                <w:color w:val="auto"/>
              </w:rPr>
              <w:t>2</w:t>
            </w:r>
            <w:r w:rsidR="00233230" w:rsidRPr="00233230">
              <w:rPr>
                <w:rStyle w:val="textit"/>
                <w:rFonts w:asciiTheme="minorHAnsi" w:hAnsiTheme="minorHAnsi"/>
                <w:bCs/>
                <w:color w:val="auto"/>
                <w:vertAlign w:val="superscript"/>
              </w:rPr>
              <w:t>nd</w:t>
            </w:r>
            <w:r w:rsidR="00233230">
              <w:rPr>
                <w:rStyle w:val="textit"/>
                <w:rFonts w:asciiTheme="minorHAnsi" w:hAnsiTheme="minorHAnsi"/>
                <w:bCs/>
                <w:color w:val="auto"/>
              </w:rPr>
              <w:t xml:space="preserve"> </w:t>
            </w:r>
            <w:r w:rsidRPr="00E646DF">
              <w:rPr>
                <w:rStyle w:val="textit"/>
                <w:rFonts w:asciiTheme="minorHAnsi" w:hAnsiTheme="minorHAnsi"/>
                <w:bCs/>
                <w:color w:val="auto"/>
              </w:rPr>
              <w:t>Jan</w:t>
            </w:r>
          </w:p>
        </w:tc>
        <w:tc>
          <w:tcPr>
            <w:tcW w:w="8732" w:type="dxa"/>
            <w:vAlign w:val="center"/>
          </w:tcPr>
          <w:p w14:paraId="04CE5DC6" w14:textId="33D3E464" w:rsidR="00AE5F7F" w:rsidRPr="00E646DF" w:rsidRDefault="00233230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  <w:color w:val="auto"/>
              </w:rPr>
            </w:pPr>
            <w:r w:rsidRPr="00233230">
              <w:rPr>
                <w:rStyle w:val="textit"/>
                <w:rFonts w:asciiTheme="minorHAnsi" w:hAnsiTheme="minorHAnsi"/>
                <w:b/>
                <w:bCs/>
                <w:color w:val="auto"/>
              </w:rPr>
              <w:t xml:space="preserve">Professor Alan </w:t>
            </w:r>
            <w:proofErr w:type="spellStart"/>
            <w:r w:rsidRPr="00233230">
              <w:rPr>
                <w:rStyle w:val="textit"/>
                <w:rFonts w:asciiTheme="minorHAnsi" w:hAnsiTheme="minorHAnsi"/>
                <w:b/>
                <w:bCs/>
                <w:color w:val="auto"/>
              </w:rPr>
              <w:t>Dangour</w:t>
            </w:r>
            <w:proofErr w:type="spellEnd"/>
          </w:p>
        </w:tc>
      </w:tr>
      <w:tr w:rsidR="00AE5F7F" w:rsidRPr="00411ED0" w14:paraId="71501B03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95EB787" w14:textId="77777777" w:rsidR="00AE5F7F" w:rsidRPr="00411ED0" w:rsidRDefault="00AE5F7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51B39460" w14:textId="47FF76B6" w:rsidR="00AE5F7F" w:rsidRPr="00411ED0" w:rsidRDefault="00233230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London School of Health and Tropical Medicine</w:t>
            </w:r>
          </w:p>
        </w:tc>
      </w:tr>
      <w:tr w:rsidR="00AE5F7F" w:rsidRPr="00CB4EE1" w14:paraId="3DC60E37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92930C3" w14:textId="77777777" w:rsidR="00AE5F7F" w:rsidRPr="008D054F" w:rsidRDefault="00AE5F7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2C406742" w14:textId="623D630F" w:rsidR="00AE5F7F" w:rsidRPr="00CB4EE1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Sustainable and Healthy Food Systems: now and in the future</w:t>
            </w:r>
          </w:p>
        </w:tc>
      </w:tr>
      <w:tr w:rsidR="009E5715" w:rsidRPr="00CB4EE1" w14:paraId="385F17DA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721C3981" w14:textId="530B5AEE" w:rsidR="009E5715" w:rsidRDefault="00233230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29</w:t>
            </w:r>
            <w:r w:rsidR="009E5715" w:rsidRPr="009E5715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 w:rsidR="009E5715">
              <w:rPr>
                <w:rStyle w:val="textit"/>
                <w:rFonts w:asciiTheme="minorHAnsi" w:hAnsiTheme="minorHAnsi"/>
                <w:bCs/>
              </w:rPr>
              <w:t xml:space="preserve"> Jan</w:t>
            </w:r>
          </w:p>
        </w:tc>
        <w:tc>
          <w:tcPr>
            <w:tcW w:w="8732" w:type="dxa"/>
            <w:vAlign w:val="center"/>
          </w:tcPr>
          <w:p w14:paraId="3FD70EC9" w14:textId="7E5EFE94" w:rsidR="009E5715" w:rsidRPr="00B32723" w:rsidRDefault="00233230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/>
                <w:bCs/>
              </w:rPr>
              <w:t>Professor Judith Bliss</w:t>
            </w:r>
          </w:p>
        </w:tc>
      </w:tr>
      <w:tr w:rsidR="009E5715" w:rsidRPr="00CB4EE1" w14:paraId="4EBDFE3A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3322D013" w14:textId="77777777" w:rsidR="009E5715" w:rsidRDefault="009E5715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</w:p>
        </w:tc>
        <w:tc>
          <w:tcPr>
            <w:tcW w:w="8732" w:type="dxa"/>
            <w:vAlign w:val="center"/>
          </w:tcPr>
          <w:p w14:paraId="5995467D" w14:textId="567FA6DE" w:rsidR="009E5715" w:rsidRPr="00B32723" w:rsidRDefault="00233230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Institute of Cancer Research</w:t>
            </w:r>
          </w:p>
        </w:tc>
      </w:tr>
      <w:tr w:rsidR="00CE5026" w:rsidRPr="00CB4EE1" w14:paraId="23344E44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69CEE896" w14:textId="77777777" w:rsidR="00CE5026" w:rsidRPr="00AE5F7F" w:rsidRDefault="00CE5026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41BDA373" w14:textId="3540AE5A" w:rsidR="00CE5026" w:rsidRPr="00AE5F7F" w:rsidRDefault="00233230" w:rsidP="0041527E">
            <w:pPr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Incorporating biomarkers into breast cancer trials – where are we at?</w:t>
            </w:r>
          </w:p>
        </w:tc>
      </w:tr>
      <w:tr w:rsidR="00AE5F7F" w:rsidRPr="00CB4EE1" w14:paraId="38D70F2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8AB583A" w14:textId="6E550F7B" w:rsidR="00AE5F7F" w:rsidRPr="00B32723" w:rsidRDefault="00233230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5</w:t>
            </w:r>
            <w:r w:rsidR="009E5715" w:rsidRPr="009E5715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 w:rsidR="009E5715">
              <w:rPr>
                <w:rStyle w:val="textit"/>
                <w:rFonts w:asciiTheme="minorHAnsi" w:hAnsiTheme="minorHAnsi"/>
                <w:bCs/>
              </w:rPr>
              <w:t xml:space="preserve"> Feb</w:t>
            </w:r>
          </w:p>
        </w:tc>
        <w:tc>
          <w:tcPr>
            <w:tcW w:w="8732" w:type="dxa"/>
            <w:vAlign w:val="center"/>
          </w:tcPr>
          <w:p w14:paraId="50647486" w14:textId="7C28C4ED" w:rsidR="00AE5F7F" w:rsidRPr="00AE5F7F" w:rsidRDefault="00233230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/>
                <w:bCs/>
              </w:rPr>
              <w:t>Professor Peter Burney</w:t>
            </w:r>
          </w:p>
        </w:tc>
      </w:tr>
      <w:tr w:rsidR="00AE5F7F" w:rsidRPr="00411ED0" w14:paraId="640D6712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D6CEFCF" w14:textId="77777777" w:rsidR="00AE5F7F" w:rsidRPr="00411ED0" w:rsidRDefault="00AE5F7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4738AB38" w14:textId="39749DB2" w:rsidR="00AE5F7F" w:rsidRPr="00411ED0" w:rsidRDefault="00233230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Imperial College</w:t>
            </w:r>
            <w:r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 London</w:t>
            </w:r>
          </w:p>
        </w:tc>
      </w:tr>
      <w:tr w:rsidR="00AE5F7F" w:rsidRPr="00CB4EE1" w14:paraId="7053205B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713814AC" w14:textId="77777777" w:rsidR="00AE5F7F" w:rsidRPr="008D054F" w:rsidRDefault="00AE5F7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0F7E0359" w14:textId="0F8CCA57" w:rsidR="00AE5F7F" w:rsidRPr="003B52F9" w:rsidRDefault="00233230" w:rsidP="00AE5F7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Controversial Topics in the Epidemiology of Chronic Lung Disease</w:t>
            </w:r>
          </w:p>
        </w:tc>
      </w:tr>
      <w:tr w:rsidR="00CB4EE1" w:rsidRPr="00CB4EE1" w14:paraId="2441B66E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00D37A6" w14:textId="3D9B9548" w:rsidR="00CB4EE1" w:rsidRPr="00B32723" w:rsidRDefault="009E5715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1</w:t>
            </w:r>
            <w:r w:rsidR="00233230">
              <w:rPr>
                <w:rStyle w:val="textit"/>
                <w:rFonts w:asciiTheme="minorHAnsi" w:hAnsiTheme="minorHAnsi"/>
                <w:bCs/>
              </w:rPr>
              <w:t>2</w:t>
            </w:r>
            <w:r w:rsidRPr="009E5715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Feb</w:t>
            </w:r>
          </w:p>
        </w:tc>
        <w:tc>
          <w:tcPr>
            <w:tcW w:w="8732" w:type="dxa"/>
            <w:vAlign w:val="center"/>
          </w:tcPr>
          <w:p w14:paraId="561CA70E" w14:textId="77A53D8E" w:rsidR="00CB4EE1" w:rsidRPr="00B32723" w:rsidRDefault="00233230" w:rsidP="0023323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/>
                <w:bCs/>
              </w:rPr>
              <w:t xml:space="preserve">Professor Mika </w:t>
            </w:r>
            <w:proofErr w:type="spellStart"/>
            <w:r w:rsidRPr="00233230">
              <w:rPr>
                <w:rStyle w:val="textit"/>
                <w:rFonts w:asciiTheme="minorHAnsi" w:hAnsiTheme="minorHAnsi"/>
                <w:b/>
                <w:bCs/>
              </w:rPr>
              <w:t>Kivimaki</w:t>
            </w:r>
            <w:proofErr w:type="spellEnd"/>
          </w:p>
        </w:tc>
      </w:tr>
      <w:tr w:rsidR="00CB4EE1" w:rsidRPr="00411ED0" w14:paraId="4BA7EB89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0800547C" w14:textId="77777777" w:rsidR="00CB4EE1" w:rsidRPr="00411ED0" w:rsidRDefault="00CB4EE1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0FB5C735" w14:textId="4E3A9E1A" w:rsidR="00CB4EE1" w:rsidRPr="00411ED0" w:rsidRDefault="00233230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University College</w:t>
            </w:r>
            <w:r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 London</w:t>
            </w:r>
          </w:p>
        </w:tc>
      </w:tr>
      <w:tr w:rsidR="00CB4EE1" w:rsidRPr="00CB4EE1" w14:paraId="262E76E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0403B1DA" w14:textId="77777777" w:rsidR="00CB4EE1" w:rsidRPr="008D054F" w:rsidRDefault="00CB4EE1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1CCAABD3" w14:textId="01303477" w:rsidR="00CB4EE1" w:rsidRPr="00CB4EE1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Prevention of dementia by targeting risk factors</w:t>
            </w:r>
          </w:p>
        </w:tc>
      </w:tr>
      <w:tr w:rsidR="00AE5F7F" w:rsidRPr="00CB4EE1" w14:paraId="259E58DC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5F9426B3" w14:textId="677CE852" w:rsidR="00AE5F7F" w:rsidRPr="00B32723" w:rsidRDefault="00233230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19</w:t>
            </w:r>
            <w:r w:rsidR="009E5715" w:rsidRPr="009E5715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 w:rsidR="009E5715">
              <w:rPr>
                <w:rStyle w:val="textit"/>
                <w:rFonts w:asciiTheme="minorHAnsi" w:hAnsiTheme="minorHAnsi"/>
                <w:bCs/>
              </w:rPr>
              <w:t xml:space="preserve"> Feb</w:t>
            </w:r>
          </w:p>
        </w:tc>
        <w:tc>
          <w:tcPr>
            <w:tcW w:w="8732" w:type="dxa"/>
            <w:vAlign w:val="center"/>
          </w:tcPr>
          <w:p w14:paraId="519D965D" w14:textId="41B0D24B" w:rsidR="00AE5F7F" w:rsidRPr="00CD62FB" w:rsidRDefault="00233230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/>
                <w:bCs/>
              </w:rPr>
              <w:t>Professor Kate Hunt</w:t>
            </w:r>
          </w:p>
        </w:tc>
      </w:tr>
      <w:tr w:rsidR="00AE5F7F" w:rsidRPr="00411ED0" w14:paraId="39A9B05D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6C3B90D" w14:textId="77777777" w:rsidR="00AE5F7F" w:rsidRPr="00411ED0" w:rsidRDefault="00AE5F7F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5D9F0C5A" w14:textId="689E6719" w:rsidR="00AE5F7F" w:rsidRPr="00CD62FB" w:rsidRDefault="00CD62FB" w:rsidP="00A201A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CD62FB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University of </w:t>
            </w:r>
            <w:r w:rsid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Stirling</w:t>
            </w:r>
          </w:p>
        </w:tc>
      </w:tr>
      <w:tr w:rsidR="00AE5F7F" w:rsidRPr="00CB4EE1" w14:paraId="3D3EAA65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3DDFA731" w14:textId="77777777" w:rsidR="00AE5F7F" w:rsidRPr="008D054F" w:rsidRDefault="00AE5F7F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481DE09C" w14:textId="1E8DC9E4" w:rsidR="00AE5F7F" w:rsidRPr="002E0C06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Social determinants of health, health behaviours and health inequalities</w:t>
            </w:r>
          </w:p>
        </w:tc>
      </w:tr>
      <w:tr w:rsidR="00CB4EE1" w:rsidRPr="00CB4EE1" w14:paraId="2A480326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81BC9D9" w14:textId="3FA1C7D9" w:rsidR="00CB4EE1" w:rsidRPr="00B32723" w:rsidRDefault="0041527E" w:rsidP="009E5715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</w:t>
            </w:r>
            <w:r w:rsidR="00233230">
              <w:rPr>
                <w:rStyle w:val="textit"/>
                <w:rFonts w:asciiTheme="minorHAnsi" w:hAnsiTheme="minorHAnsi"/>
                <w:bCs/>
              </w:rPr>
              <w:t>6</w:t>
            </w:r>
            <w:r w:rsidR="009E5715" w:rsidRPr="009E5715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 w:rsidR="009E5715">
              <w:rPr>
                <w:rStyle w:val="textit"/>
                <w:rFonts w:asciiTheme="minorHAnsi" w:hAnsiTheme="minorHAnsi"/>
                <w:bCs/>
              </w:rPr>
              <w:t xml:space="preserve"> Feb</w:t>
            </w:r>
          </w:p>
        </w:tc>
        <w:tc>
          <w:tcPr>
            <w:tcW w:w="8732" w:type="dxa"/>
            <w:vAlign w:val="center"/>
          </w:tcPr>
          <w:p w14:paraId="4D1B458D" w14:textId="17C56E6A" w:rsidR="00CB4EE1" w:rsidRPr="00B32723" w:rsidRDefault="00233230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/>
                <w:bCs/>
              </w:rPr>
              <w:t>Professor David Dodwell</w:t>
            </w:r>
          </w:p>
        </w:tc>
      </w:tr>
      <w:tr w:rsidR="00CB4EE1" w:rsidRPr="008D054F" w14:paraId="1BB8AFC9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27AD82E0" w14:textId="77777777" w:rsidR="00CB4EE1" w:rsidRPr="008D054F" w:rsidRDefault="00CB4EE1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46829C73" w14:textId="01093BAB" w:rsidR="00CB4EE1" w:rsidRPr="008D054F" w:rsidRDefault="009E5715" w:rsidP="002E6FE2">
            <w:pPr>
              <w:pStyle w:val="NormalWeb"/>
              <w:spacing w:before="40" w:after="4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University of </w:t>
            </w:r>
            <w:r w:rsidR="00233230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Oxford</w:t>
            </w:r>
          </w:p>
        </w:tc>
      </w:tr>
      <w:tr w:rsidR="00CB4EE1" w:rsidRPr="00CB4EE1" w14:paraId="2453E36E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173C7ADA" w14:textId="77777777" w:rsidR="00CB4EE1" w:rsidRPr="008D054F" w:rsidRDefault="00CB4EE1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0641C5F4" w14:textId="26B0D28F" w:rsidR="00CB4EE1" w:rsidRPr="00CB4EE1" w:rsidRDefault="00233230" w:rsidP="00C344D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Progress in the management of breast cancer: trials &amp; tribulations</w:t>
            </w:r>
          </w:p>
        </w:tc>
      </w:tr>
      <w:tr w:rsidR="00233230" w:rsidRPr="00CB4EE1" w14:paraId="14C3CDFF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338C6617" w14:textId="1EECAC53" w:rsidR="00233230" w:rsidRPr="008D054F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Style w:val="textit"/>
                <w:rFonts w:asciiTheme="minorHAnsi" w:hAnsiTheme="minorHAnsi"/>
                <w:bCs/>
              </w:rPr>
              <w:t>5</w:t>
            </w:r>
            <w:r w:rsidRPr="009E5715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March</w:t>
            </w:r>
          </w:p>
        </w:tc>
        <w:tc>
          <w:tcPr>
            <w:tcW w:w="8732" w:type="dxa"/>
            <w:vAlign w:val="center"/>
          </w:tcPr>
          <w:p w14:paraId="2C355327" w14:textId="362ED58C" w:rsidR="00233230" w:rsidRPr="00C344DF" w:rsidRDefault="00233230" w:rsidP="00C344D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/>
              </w:rPr>
              <w:t>Professor Richard Cookson</w:t>
            </w:r>
          </w:p>
        </w:tc>
      </w:tr>
      <w:tr w:rsidR="00233230" w:rsidRPr="00CB4EE1" w14:paraId="4F5DFAD5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36C26669" w14:textId="77777777" w:rsidR="00233230" w:rsidRPr="008D054F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5ADF9B84" w14:textId="6CA56212" w:rsidR="00233230" w:rsidRPr="00C344DF" w:rsidRDefault="00233230" w:rsidP="00C344D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  <w:lang w:val="en-US"/>
              </w:rPr>
              <w:t>University of York</w:t>
            </w:r>
          </w:p>
        </w:tc>
      </w:tr>
      <w:tr w:rsidR="00233230" w:rsidRPr="00CB4EE1" w14:paraId="7C6482BB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636C9C16" w14:textId="05ECAF99" w:rsidR="00233230" w:rsidRPr="008D054F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732" w:type="dxa"/>
            <w:vAlign w:val="center"/>
          </w:tcPr>
          <w:p w14:paraId="58ACE89C" w14:textId="437FCCA1" w:rsidR="00233230" w:rsidRPr="00C344DF" w:rsidRDefault="00233230" w:rsidP="00C344DF">
            <w:pPr>
              <w:pStyle w:val="NormalWeb"/>
              <w:spacing w:before="40" w:after="8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Life course economic evaluation of early years’ policy and its impacts on health inequality</w:t>
            </w:r>
          </w:p>
        </w:tc>
      </w:tr>
      <w:tr w:rsidR="00233230" w:rsidRPr="00CB4EE1" w14:paraId="0FF9ABEB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4148B8DF" w14:textId="64192692" w:rsidR="00233230" w:rsidRPr="00B32723" w:rsidRDefault="00233230" w:rsidP="002E6FE2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14</w:t>
            </w: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 xml:space="preserve"> March</w:t>
            </w:r>
          </w:p>
        </w:tc>
        <w:tc>
          <w:tcPr>
            <w:tcW w:w="8732" w:type="dxa"/>
            <w:vAlign w:val="center"/>
          </w:tcPr>
          <w:p w14:paraId="1DE9088C" w14:textId="11A8A340" w:rsidR="00233230" w:rsidRPr="00AE5F7F" w:rsidRDefault="00233230" w:rsidP="0041527E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233230">
              <w:rPr>
                <w:rStyle w:val="textit"/>
                <w:rFonts w:asciiTheme="minorHAnsi" w:hAnsiTheme="minorHAnsi"/>
                <w:b/>
              </w:rPr>
              <w:t>Associate Professor Daniel Barnett</w:t>
            </w:r>
          </w:p>
        </w:tc>
      </w:tr>
      <w:tr w:rsidR="00233230" w:rsidRPr="00411ED0" w14:paraId="4A3C95C0" w14:textId="77777777" w:rsidTr="002E6FE2">
        <w:trPr>
          <w:trHeight w:val="227"/>
        </w:trPr>
        <w:tc>
          <w:tcPr>
            <w:tcW w:w="1191" w:type="dxa"/>
            <w:vAlign w:val="center"/>
          </w:tcPr>
          <w:p w14:paraId="78450DAA" w14:textId="77777777" w:rsidR="00233230" w:rsidRPr="00411ED0" w:rsidRDefault="00233230" w:rsidP="00AE5F7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32" w:type="dxa"/>
            <w:vAlign w:val="center"/>
          </w:tcPr>
          <w:p w14:paraId="0C2A34E9" w14:textId="15DF598A" w:rsidR="00233230" w:rsidRPr="00006997" w:rsidRDefault="00233230" w:rsidP="00A201A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233230">
              <w:rPr>
                <w:rFonts w:asciiTheme="minorHAnsi" w:hAnsiTheme="minorHAnsi"/>
                <w:bCs/>
                <w:i/>
                <w:sz w:val="20"/>
                <w:szCs w:val="20"/>
                <w:lang w:val="en-US"/>
              </w:rPr>
              <w:t>Johns Hopkins Bloomberg School of Public Health</w:t>
            </w:r>
          </w:p>
        </w:tc>
      </w:tr>
      <w:tr w:rsidR="00233230" w:rsidRPr="00CB4EE1" w14:paraId="22AB1355" w14:textId="77777777" w:rsidTr="002E6FE2">
        <w:trPr>
          <w:trHeight w:val="227"/>
        </w:trPr>
        <w:tc>
          <w:tcPr>
            <w:tcW w:w="1191" w:type="dxa"/>
            <w:tcBorders>
              <w:top w:val="nil"/>
              <w:bottom w:val="thinThickThinSmallGap" w:sz="18" w:space="0" w:color="auto"/>
            </w:tcBorders>
            <w:vAlign w:val="center"/>
          </w:tcPr>
          <w:p w14:paraId="1149CF0E" w14:textId="77777777" w:rsidR="00233230" w:rsidRPr="00CB4EE1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nil"/>
              <w:bottom w:val="thinThickThinSmallGap" w:sz="18" w:space="0" w:color="auto"/>
            </w:tcBorders>
            <w:vAlign w:val="center"/>
          </w:tcPr>
          <w:p w14:paraId="5798F991" w14:textId="6579E25E" w:rsidR="00233230" w:rsidRPr="00006997" w:rsidRDefault="00233230" w:rsidP="00AE5F7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233230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Examining Public Health Workers' Perceptions Toward Response Expectations in Disasters</w:t>
            </w:r>
          </w:p>
        </w:tc>
      </w:tr>
    </w:tbl>
    <w:p w14:paraId="5ACC95BD" w14:textId="77777777" w:rsidR="00070C2A" w:rsidRDefault="00070C2A" w:rsidP="00070C2A">
      <w:pPr>
        <w:jc w:val="center"/>
        <w:rPr>
          <w:rFonts w:asciiTheme="minorHAnsi" w:hAnsiTheme="minorHAnsi"/>
          <w:sz w:val="32"/>
          <w:szCs w:val="32"/>
        </w:rPr>
      </w:pPr>
      <w:r w:rsidRPr="009F43EB">
        <w:rPr>
          <w:rFonts w:asciiTheme="minorHAnsi" w:hAnsiTheme="minorHAnsi"/>
          <w:sz w:val="32"/>
          <w:szCs w:val="32"/>
        </w:rPr>
        <w:t>All welcome</w:t>
      </w:r>
    </w:p>
    <w:p w14:paraId="759964E0" w14:textId="77777777" w:rsidR="009F25C6" w:rsidRPr="003A6122" w:rsidRDefault="009F25C6" w:rsidP="00070C2A">
      <w:pPr>
        <w:jc w:val="center"/>
        <w:rPr>
          <w:rFonts w:asciiTheme="minorHAnsi" w:hAnsiTheme="minorHAnsi"/>
          <w:sz w:val="12"/>
          <w:szCs w:val="12"/>
        </w:rPr>
      </w:pPr>
    </w:p>
    <w:p w14:paraId="18BFD0D3" w14:textId="0FEE17DB" w:rsidR="00070C2A" w:rsidRPr="00070C2A" w:rsidRDefault="001F3BD5" w:rsidP="00070C2A">
      <w:pPr>
        <w:jc w:val="center"/>
        <w:rPr>
          <w:rFonts w:asciiTheme="minorHAnsi" w:hAnsiTheme="minorHAnsi"/>
          <w:sz w:val="18"/>
          <w:szCs w:val="18"/>
        </w:rPr>
      </w:pPr>
      <w:r w:rsidRPr="00323991">
        <w:rPr>
          <w:rFonts w:asciiTheme="minorHAnsi" w:hAnsiTheme="minorHAnsi"/>
          <w:sz w:val="18"/>
          <w:szCs w:val="18"/>
        </w:rPr>
        <w:t>Conveners</w:t>
      </w:r>
      <w:r w:rsidR="00070C2A" w:rsidRPr="00323991">
        <w:rPr>
          <w:rFonts w:asciiTheme="minorHAnsi" w:hAnsiTheme="minorHAnsi"/>
          <w:sz w:val="18"/>
          <w:szCs w:val="18"/>
        </w:rPr>
        <w:t xml:space="preserve">: </w:t>
      </w:r>
      <w:r w:rsidR="00233230">
        <w:rPr>
          <w:rFonts w:asciiTheme="minorHAnsi" w:hAnsiTheme="minorHAnsi"/>
          <w:sz w:val="18"/>
          <w:szCs w:val="18"/>
        </w:rPr>
        <w:t>Julie Schm</w:t>
      </w:r>
      <w:bookmarkStart w:id="0" w:name="_GoBack"/>
      <w:bookmarkEnd w:id="0"/>
      <w:r w:rsidR="00233230">
        <w:rPr>
          <w:rFonts w:asciiTheme="minorHAnsi" w:hAnsiTheme="minorHAnsi"/>
          <w:sz w:val="18"/>
          <w:szCs w:val="18"/>
        </w:rPr>
        <w:t>idt, Louisa Gnatiuc</w:t>
      </w:r>
      <w:r w:rsidR="00323991" w:rsidRPr="00323991">
        <w:rPr>
          <w:rFonts w:asciiTheme="minorHAnsi" w:hAnsiTheme="minorHAnsi"/>
          <w:sz w:val="18"/>
          <w:szCs w:val="18"/>
        </w:rPr>
        <w:t xml:space="preserve"> and David Preiss</w:t>
      </w:r>
    </w:p>
    <w:p w14:paraId="11BAF46A" w14:textId="00907997" w:rsidR="00056F31" w:rsidRPr="009943CF" w:rsidRDefault="00070C2A" w:rsidP="00070C2A">
      <w:pPr>
        <w:jc w:val="center"/>
        <w:rPr>
          <w:rFonts w:asciiTheme="minorHAnsi" w:hAnsiTheme="minorHAnsi"/>
          <w:sz w:val="18"/>
          <w:szCs w:val="18"/>
        </w:rPr>
      </w:pPr>
      <w:r w:rsidRPr="009943CF">
        <w:rPr>
          <w:rFonts w:asciiTheme="minorHAnsi" w:hAnsiTheme="minorHAnsi"/>
          <w:sz w:val="18"/>
          <w:szCs w:val="18"/>
        </w:rPr>
        <w:t xml:space="preserve">Email: </w:t>
      </w:r>
      <w:hyperlink r:id="rId7" w:history="1">
        <w:r w:rsidR="00CD26C3" w:rsidRPr="003978DB">
          <w:rPr>
            <w:rStyle w:val="Hyperlink"/>
            <w:rFonts w:asciiTheme="minorHAnsi" w:hAnsiTheme="minorHAnsi"/>
            <w:sz w:val="18"/>
            <w:szCs w:val="18"/>
          </w:rPr>
          <w:t>rdseminars@ndph.ox.ac.uk</w:t>
        </w:r>
      </w:hyperlink>
      <w:r w:rsidR="009F43EB">
        <w:rPr>
          <w:rStyle w:val="Hyperlink"/>
          <w:rFonts w:asciiTheme="minorHAnsi" w:hAnsiTheme="minorHAnsi"/>
          <w:sz w:val="18"/>
          <w:szCs w:val="18"/>
        </w:rPr>
        <w:t xml:space="preserve">; </w:t>
      </w:r>
      <w:r w:rsidR="009943CF">
        <w:rPr>
          <w:rFonts w:asciiTheme="minorHAnsi" w:hAnsiTheme="minorHAnsi"/>
          <w:sz w:val="18"/>
          <w:szCs w:val="18"/>
        </w:rPr>
        <w:t xml:space="preserve">Web: </w:t>
      </w:r>
      <w:hyperlink r:id="rId8" w:history="1">
        <w:r w:rsidR="009E5715" w:rsidRPr="00797BFE">
          <w:rPr>
            <w:rStyle w:val="Hyperlink"/>
            <w:rFonts w:asciiTheme="minorHAnsi" w:hAnsiTheme="minorHAnsi"/>
            <w:sz w:val="18"/>
            <w:szCs w:val="18"/>
          </w:rPr>
          <w:t>www.ndph.ox.ac.uk/upcoming-events</w:t>
        </w:r>
      </w:hyperlink>
      <w:r w:rsidRPr="009943CF">
        <w:rPr>
          <w:rFonts w:asciiTheme="minorHAnsi" w:hAnsiTheme="minorHAnsi"/>
          <w:sz w:val="18"/>
          <w:szCs w:val="18"/>
        </w:rPr>
        <w:t xml:space="preserve"> </w:t>
      </w:r>
      <w:r w:rsidR="009943CF">
        <w:rPr>
          <w:rFonts w:asciiTheme="minorHAnsi" w:hAnsiTheme="minorHAnsi"/>
          <w:sz w:val="18"/>
          <w:szCs w:val="18"/>
        </w:rPr>
        <w:t xml:space="preserve">Twitter: </w:t>
      </w:r>
      <w:hyperlink r:id="rId9" w:history="1">
        <w:r w:rsidR="009943CF" w:rsidRPr="009943CF">
          <w:rPr>
            <w:rStyle w:val="Hyperlink"/>
            <w:rFonts w:asciiTheme="minorHAnsi" w:hAnsiTheme="minorHAnsi"/>
            <w:sz w:val="18"/>
            <w:szCs w:val="18"/>
          </w:rPr>
          <w:t>twitter.com/</w:t>
        </w:r>
        <w:proofErr w:type="spellStart"/>
        <w:r w:rsidR="009943CF" w:rsidRPr="009943CF">
          <w:rPr>
            <w:rStyle w:val="Hyperlink"/>
            <w:rFonts w:asciiTheme="minorHAnsi" w:hAnsiTheme="minorHAnsi"/>
            <w:sz w:val="18"/>
            <w:szCs w:val="18"/>
          </w:rPr>
          <w:t>rdseminars</w:t>
        </w:r>
        <w:proofErr w:type="spellEnd"/>
      </w:hyperlink>
      <w:r w:rsidR="009943CF" w:rsidRPr="009943CF">
        <w:rPr>
          <w:rFonts w:asciiTheme="minorHAnsi" w:hAnsiTheme="minorHAnsi"/>
          <w:sz w:val="18"/>
          <w:szCs w:val="18"/>
        </w:rPr>
        <w:t xml:space="preserve"> </w:t>
      </w:r>
    </w:p>
    <w:sectPr w:rsidR="00056F31" w:rsidRPr="009943CF" w:rsidSect="009F25C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0437D" w14:textId="77777777" w:rsidR="00715725" w:rsidRDefault="00715725" w:rsidP="009F25C6">
      <w:r>
        <w:separator/>
      </w:r>
    </w:p>
  </w:endnote>
  <w:endnote w:type="continuationSeparator" w:id="0">
    <w:p w14:paraId="7CEACBB7" w14:textId="77777777" w:rsidR="00715725" w:rsidRDefault="00715725" w:rsidP="009F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RW Bookman L">
    <w:altName w:val="URW Book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10444" w14:textId="77777777" w:rsidR="00715725" w:rsidRDefault="00715725" w:rsidP="009F25C6">
      <w:r>
        <w:separator/>
      </w:r>
    </w:p>
  </w:footnote>
  <w:footnote w:type="continuationSeparator" w:id="0">
    <w:p w14:paraId="421D5EC6" w14:textId="77777777" w:rsidR="00715725" w:rsidRDefault="00715725" w:rsidP="009F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43"/>
    <w:rsid w:val="00001566"/>
    <w:rsid w:val="000027B3"/>
    <w:rsid w:val="00006997"/>
    <w:rsid w:val="00013262"/>
    <w:rsid w:val="00014C1B"/>
    <w:rsid w:val="00015FB8"/>
    <w:rsid w:val="00024163"/>
    <w:rsid w:val="000273A7"/>
    <w:rsid w:val="0004390C"/>
    <w:rsid w:val="000441CB"/>
    <w:rsid w:val="00045683"/>
    <w:rsid w:val="00054D28"/>
    <w:rsid w:val="00056F31"/>
    <w:rsid w:val="00070C2A"/>
    <w:rsid w:val="000712B9"/>
    <w:rsid w:val="00075336"/>
    <w:rsid w:val="00080ADD"/>
    <w:rsid w:val="00091CD5"/>
    <w:rsid w:val="000978DB"/>
    <w:rsid w:val="00097C8F"/>
    <w:rsid w:val="000A01AA"/>
    <w:rsid w:val="000A0C25"/>
    <w:rsid w:val="000A4B8F"/>
    <w:rsid w:val="000A5F88"/>
    <w:rsid w:val="000B29A5"/>
    <w:rsid w:val="000B6491"/>
    <w:rsid w:val="000C61DF"/>
    <w:rsid w:val="000E0B40"/>
    <w:rsid w:val="000E22BC"/>
    <w:rsid w:val="000F148A"/>
    <w:rsid w:val="000F76DA"/>
    <w:rsid w:val="001012F9"/>
    <w:rsid w:val="00103204"/>
    <w:rsid w:val="0012040F"/>
    <w:rsid w:val="00126D29"/>
    <w:rsid w:val="0012793B"/>
    <w:rsid w:val="00130E2C"/>
    <w:rsid w:val="00136114"/>
    <w:rsid w:val="00137795"/>
    <w:rsid w:val="00147A2B"/>
    <w:rsid w:val="00153DD5"/>
    <w:rsid w:val="00162250"/>
    <w:rsid w:val="00167E3C"/>
    <w:rsid w:val="00175335"/>
    <w:rsid w:val="001823A7"/>
    <w:rsid w:val="00185915"/>
    <w:rsid w:val="001860FD"/>
    <w:rsid w:val="00190042"/>
    <w:rsid w:val="001E5C24"/>
    <w:rsid w:val="001F3BD5"/>
    <w:rsid w:val="001F4130"/>
    <w:rsid w:val="00200D47"/>
    <w:rsid w:val="00223A0B"/>
    <w:rsid w:val="00233230"/>
    <w:rsid w:val="00241A3C"/>
    <w:rsid w:val="0024692A"/>
    <w:rsid w:val="00250506"/>
    <w:rsid w:val="002634C6"/>
    <w:rsid w:val="00264C8C"/>
    <w:rsid w:val="00273102"/>
    <w:rsid w:val="00280AD2"/>
    <w:rsid w:val="002841E0"/>
    <w:rsid w:val="00286E19"/>
    <w:rsid w:val="002A712D"/>
    <w:rsid w:val="002B7C14"/>
    <w:rsid w:val="002C317C"/>
    <w:rsid w:val="002C4401"/>
    <w:rsid w:val="002C47FC"/>
    <w:rsid w:val="002D1EB7"/>
    <w:rsid w:val="002D5381"/>
    <w:rsid w:val="002E0514"/>
    <w:rsid w:val="002E0C06"/>
    <w:rsid w:val="002E6FE2"/>
    <w:rsid w:val="002F111E"/>
    <w:rsid w:val="002F1FC3"/>
    <w:rsid w:val="002F51C6"/>
    <w:rsid w:val="00304D4A"/>
    <w:rsid w:val="00306D7A"/>
    <w:rsid w:val="00317807"/>
    <w:rsid w:val="00320714"/>
    <w:rsid w:val="00321BB0"/>
    <w:rsid w:val="00323991"/>
    <w:rsid w:val="00323CFC"/>
    <w:rsid w:val="003316BF"/>
    <w:rsid w:val="00335018"/>
    <w:rsid w:val="00337CA8"/>
    <w:rsid w:val="00344670"/>
    <w:rsid w:val="00344DE9"/>
    <w:rsid w:val="003568C4"/>
    <w:rsid w:val="0036225B"/>
    <w:rsid w:val="003632D0"/>
    <w:rsid w:val="00373410"/>
    <w:rsid w:val="00387673"/>
    <w:rsid w:val="00392BE8"/>
    <w:rsid w:val="003A2EB6"/>
    <w:rsid w:val="003A423C"/>
    <w:rsid w:val="003A5666"/>
    <w:rsid w:val="003A6122"/>
    <w:rsid w:val="003B004B"/>
    <w:rsid w:val="003B39FE"/>
    <w:rsid w:val="003B52F9"/>
    <w:rsid w:val="003C262C"/>
    <w:rsid w:val="003C6408"/>
    <w:rsid w:val="003D24BC"/>
    <w:rsid w:val="003E2459"/>
    <w:rsid w:val="003E39EE"/>
    <w:rsid w:val="003E58A3"/>
    <w:rsid w:val="003E75E5"/>
    <w:rsid w:val="003F06AD"/>
    <w:rsid w:val="003F47FC"/>
    <w:rsid w:val="004002F5"/>
    <w:rsid w:val="00400EFA"/>
    <w:rsid w:val="004044F1"/>
    <w:rsid w:val="0040692F"/>
    <w:rsid w:val="00410603"/>
    <w:rsid w:val="00411ED0"/>
    <w:rsid w:val="004129B7"/>
    <w:rsid w:val="0041400E"/>
    <w:rsid w:val="0041527E"/>
    <w:rsid w:val="00415CEF"/>
    <w:rsid w:val="0041701A"/>
    <w:rsid w:val="0042295D"/>
    <w:rsid w:val="0042322E"/>
    <w:rsid w:val="004236EE"/>
    <w:rsid w:val="0042523E"/>
    <w:rsid w:val="0044148A"/>
    <w:rsid w:val="0044185F"/>
    <w:rsid w:val="00444E44"/>
    <w:rsid w:val="00451DF5"/>
    <w:rsid w:val="00457452"/>
    <w:rsid w:val="00457BEC"/>
    <w:rsid w:val="004617FE"/>
    <w:rsid w:val="004624E8"/>
    <w:rsid w:val="00465A4C"/>
    <w:rsid w:val="00466F6E"/>
    <w:rsid w:val="00472CE0"/>
    <w:rsid w:val="00494194"/>
    <w:rsid w:val="004978B6"/>
    <w:rsid w:val="004A33C7"/>
    <w:rsid w:val="004A3C38"/>
    <w:rsid w:val="004A43F5"/>
    <w:rsid w:val="004A6324"/>
    <w:rsid w:val="004E2BDA"/>
    <w:rsid w:val="004E57A5"/>
    <w:rsid w:val="004E5D63"/>
    <w:rsid w:val="004F12BA"/>
    <w:rsid w:val="004F5467"/>
    <w:rsid w:val="00501E18"/>
    <w:rsid w:val="00522846"/>
    <w:rsid w:val="005235CD"/>
    <w:rsid w:val="005323FC"/>
    <w:rsid w:val="00536D43"/>
    <w:rsid w:val="0054344F"/>
    <w:rsid w:val="00544163"/>
    <w:rsid w:val="00550F01"/>
    <w:rsid w:val="00556A9D"/>
    <w:rsid w:val="00560EFE"/>
    <w:rsid w:val="0056139A"/>
    <w:rsid w:val="0057012E"/>
    <w:rsid w:val="005709CC"/>
    <w:rsid w:val="0058407D"/>
    <w:rsid w:val="005877BD"/>
    <w:rsid w:val="00590422"/>
    <w:rsid w:val="0059144A"/>
    <w:rsid w:val="00594998"/>
    <w:rsid w:val="005A1F0C"/>
    <w:rsid w:val="005A3878"/>
    <w:rsid w:val="005A76C9"/>
    <w:rsid w:val="005B2533"/>
    <w:rsid w:val="005D4664"/>
    <w:rsid w:val="005E036A"/>
    <w:rsid w:val="005E1B86"/>
    <w:rsid w:val="005F0949"/>
    <w:rsid w:val="005F4BC9"/>
    <w:rsid w:val="005F6311"/>
    <w:rsid w:val="005F6A08"/>
    <w:rsid w:val="0060531F"/>
    <w:rsid w:val="00616036"/>
    <w:rsid w:val="0061727D"/>
    <w:rsid w:val="00632D64"/>
    <w:rsid w:val="00635E65"/>
    <w:rsid w:val="00642311"/>
    <w:rsid w:val="0065586E"/>
    <w:rsid w:val="0066403D"/>
    <w:rsid w:val="006732FB"/>
    <w:rsid w:val="006766CC"/>
    <w:rsid w:val="006833D8"/>
    <w:rsid w:val="00684A4E"/>
    <w:rsid w:val="00691990"/>
    <w:rsid w:val="006A3B63"/>
    <w:rsid w:val="006A5774"/>
    <w:rsid w:val="006B1A70"/>
    <w:rsid w:val="006B1CBA"/>
    <w:rsid w:val="006B52DE"/>
    <w:rsid w:val="006D19A6"/>
    <w:rsid w:val="006E4388"/>
    <w:rsid w:val="006F140D"/>
    <w:rsid w:val="006F4707"/>
    <w:rsid w:val="006F5693"/>
    <w:rsid w:val="006F72CC"/>
    <w:rsid w:val="00701A24"/>
    <w:rsid w:val="00715725"/>
    <w:rsid w:val="007219D9"/>
    <w:rsid w:val="0072498D"/>
    <w:rsid w:val="007310B3"/>
    <w:rsid w:val="00734C94"/>
    <w:rsid w:val="007359A6"/>
    <w:rsid w:val="007441C5"/>
    <w:rsid w:val="007447FF"/>
    <w:rsid w:val="00751EBB"/>
    <w:rsid w:val="00753332"/>
    <w:rsid w:val="00753FA1"/>
    <w:rsid w:val="00760ABC"/>
    <w:rsid w:val="00763390"/>
    <w:rsid w:val="00770C65"/>
    <w:rsid w:val="00783E55"/>
    <w:rsid w:val="0079000C"/>
    <w:rsid w:val="00790B06"/>
    <w:rsid w:val="007943A7"/>
    <w:rsid w:val="007A488D"/>
    <w:rsid w:val="007A5E31"/>
    <w:rsid w:val="007A74CD"/>
    <w:rsid w:val="007B3A1F"/>
    <w:rsid w:val="007C5D62"/>
    <w:rsid w:val="007C6D7C"/>
    <w:rsid w:val="007D32C9"/>
    <w:rsid w:val="007F435D"/>
    <w:rsid w:val="007F4F83"/>
    <w:rsid w:val="00805F9C"/>
    <w:rsid w:val="0080736E"/>
    <w:rsid w:val="008109DA"/>
    <w:rsid w:val="00811F90"/>
    <w:rsid w:val="00815D00"/>
    <w:rsid w:val="00817531"/>
    <w:rsid w:val="00832848"/>
    <w:rsid w:val="00833B83"/>
    <w:rsid w:val="00835861"/>
    <w:rsid w:val="00844DAD"/>
    <w:rsid w:val="00854641"/>
    <w:rsid w:val="0085539B"/>
    <w:rsid w:val="00857D2E"/>
    <w:rsid w:val="008602F8"/>
    <w:rsid w:val="00861312"/>
    <w:rsid w:val="0087110C"/>
    <w:rsid w:val="00872F6B"/>
    <w:rsid w:val="008A1012"/>
    <w:rsid w:val="008A2247"/>
    <w:rsid w:val="008A3097"/>
    <w:rsid w:val="008B216D"/>
    <w:rsid w:val="008C6773"/>
    <w:rsid w:val="008C6EFF"/>
    <w:rsid w:val="008D054F"/>
    <w:rsid w:val="008D5E8B"/>
    <w:rsid w:val="008D76F0"/>
    <w:rsid w:val="008E08B1"/>
    <w:rsid w:val="009005E9"/>
    <w:rsid w:val="00907C8B"/>
    <w:rsid w:val="0092184C"/>
    <w:rsid w:val="00922843"/>
    <w:rsid w:val="00936DA9"/>
    <w:rsid w:val="00942C70"/>
    <w:rsid w:val="0094503E"/>
    <w:rsid w:val="00953816"/>
    <w:rsid w:val="00965F30"/>
    <w:rsid w:val="0096772A"/>
    <w:rsid w:val="00975870"/>
    <w:rsid w:val="009943CF"/>
    <w:rsid w:val="009A014A"/>
    <w:rsid w:val="009A1646"/>
    <w:rsid w:val="009A27DA"/>
    <w:rsid w:val="009A28BA"/>
    <w:rsid w:val="009A3B81"/>
    <w:rsid w:val="009B65A9"/>
    <w:rsid w:val="009C676F"/>
    <w:rsid w:val="009E5715"/>
    <w:rsid w:val="009E70DA"/>
    <w:rsid w:val="009F25C6"/>
    <w:rsid w:val="009F43EB"/>
    <w:rsid w:val="009F51D8"/>
    <w:rsid w:val="00A0021A"/>
    <w:rsid w:val="00A11FE0"/>
    <w:rsid w:val="00A12957"/>
    <w:rsid w:val="00A201A7"/>
    <w:rsid w:val="00A22D07"/>
    <w:rsid w:val="00A2439A"/>
    <w:rsid w:val="00A36145"/>
    <w:rsid w:val="00A4643A"/>
    <w:rsid w:val="00A53553"/>
    <w:rsid w:val="00A57A37"/>
    <w:rsid w:val="00A62EC2"/>
    <w:rsid w:val="00A65E52"/>
    <w:rsid w:val="00A71393"/>
    <w:rsid w:val="00A91877"/>
    <w:rsid w:val="00AA2078"/>
    <w:rsid w:val="00AB0A95"/>
    <w:rsid w:val="00AC3D98"/>
    <w:rsid w:val="00AC520A"/>
    <w:rsid w:val="00AD0E94"/>
    <w:rsid w:val="00AD42B8"/>
    <w:rsid w:val="00AD64D5"/>
    <w:rsid w:val="00AE24B7"/>
    <w:rsid w:val="00AE5F7F"/>
    <w:rsid w:val="00AF4A68"/>
    <w:rsid w:val="00B014DD"/>
    <w:rsid w:val="00B07F75"/>
    <w:rsid w:val="00B11672"/>
    <w:rsid w:val="00B12EE1"/>
    <w:rsid w:val="00B203D1"/>
    <w:rsid w:val="00B20CCA"/>
    <w:rsid w:val="00B21B24"/>
    <w:rsid w:val="00B27C1E"/>
    <w:rsid w:val="00B3047F"/>
    <w:rsid w:val="00B32723"/>
    <w:rsid w:val="00B36ACD"/>
    <w:rsid w:val="00B43558"/>
    <w:rsid w:val="00B450AC"/>
    <w:rsid w:val="00B511E8"/>
    <w:rsid w:val="00B520B0"/>
    <w:rsid w:val="00B606D9"/>
    <w:rsid w:val="00B62FE3"/>
    <w:rsid w:val="00B665EA"/>
    <w:rsid w:val="00B8084D"/>
    <w:rsid w:val="00B850CD"/>
    <w:rsid w:val="00B87154"/>
    <w:rsid w:val="00B93582"/>
    <w:rsid w:val="00BA36BF"/>
    <w:rsid w:val="00BA3E56"/>
    <w:rsid w:val="00BA4D05"/>
    <w:rsid w:val="00BB2608"/>
    <w:rsid w:val="00BB2FA6"/>
    <w:rsid w:val="00BB5BFF"/>
    <w:rsid w:val="00BC0CEB"/>
    <w:rsid w:val="00BC4C3E"/>
    <w:rsid w:val="00BD1358"/>
    <w:rsid w:val="00BD622F"/>
    <w:rsid w:val="00BE0CAE"/>
    <w:rsid w:val="00BE31A5"/>
    <w:rsid w:val="00BE359B"/>
    <w:rsid w:val="00BE5F65"/>
    <w:rsid w:val="00BE6AF8"/>
    <w:rsid w:val="00BE72DA"/>
    <w:rsid w:val="00BF4E72"/>
    <w:rsid w:val="00C002BB"/>
    <w:rsid w:val="00C03367"/>
    <w:rsid w:val="00C05728"/>
    <w:rsid w:val="00C1120E"/>
    <w:rsid w:val="00C304EF"/>
    <w:rsid w:val="00C3274F"/>
    <w:rsid w:val="00C344DF"/>
    <w:rsid w:val="00C54700"/>
    <w:rsid w:val="00C604B7"/>
    <w:rsid w:val="00C63C43"/>
    <w:rsid w:val="00C64697"/>
    <w:rsid w:val="00C659C7"/>
    <w:rsid w:val="00C671B4"/>
    <w:rsid w:val="00C704DD"/>
    <w:rsid w:val="00C725F0"/>
    <w:rsid w:val="00C73B4F"/>
    <w:rsid w:val="00C849B9"/>
    <w:rsid w:val="00C96072"/>
    <w:rsid w:val="00CA2A89"/>
    <w:rsid w:val="00CB0F12"/>
    <w:rsid w:val="00CB4EE1"/>
    <w:rsid w:val="00CB5AE4"/>
    <w:rsid w:val="00CC06A9"/>
    <w:rsid w:val="00CD26C3"/>
    <w:rsid w:val="00CD62FB"/>
    <w:rsid w:val="00CE2EBF"/>
    <w:rsid w:val="00CE5026"/>
    <w:rsid w:val="00CF3D17"/>
    <w:rsid w:val="00D05E82"/>
    <w:rsid w:val="00D15401"/>
    <w:rsid w:val="00D2023C"/>
    <w:rsid w:val="00D20443"/>
    <w:rsid w:val="00D32A37"/>
    <w:rsid w:val="00D34A75"/>
    <w:rsid w:val="00D3612A"/>
    <w:rsid w:val="00D41273"/>
    <w:rsid w:val="00D50308"/>
    <w:rsid w:val="00D53484"/>
    <w:rsid w:val="00D63EE3"/>
    <w:rsid w:val="00D81093"/>
    <w:rsid w:val="00D81252"/>
    <w:rsid w:val="00D84BBC"/>
    <w:rsid w:val="00D910AE"/>
    <w:rsid w:val="00D9304C"/>
    <w:rsid w:val="00D9485A"/>
    <w:rsid w:val="00DB6136"/>
    <w:rsid w:val="00DB7895"/>
    <w:rsid w:val="00DC5F01"/>
    <w:rsid w:val="00DD254A"/>
    <w:rsid w:val="00DD7487"/>
    <w:rsid w:val="00DE233D"/>
    <w:rsid w:val="00DE55A1"/>
    <w:rsid w:val="00DE5DE6"/>
    <w:rsid w:val="00DF456A"/>
    <w:rsid w:val="00DF7CAC"/>
    <w:rsid w:val="00E054BB"/>
    <w:rsid w:val="00E10738"/>
    <w:rsid w:val="00E16B93"/>
    <w:rsid w:val="00E332BC"/>
    <w:rsid w:val="00E41ADC"/>
    <w:rsid w:val="00E45181"/>
    <w:rsid w:val="00E45666"/>
    <w:rsid w:val="00E46657"/>
    <w:rsid w:val="00E47FB9"/>
    <w:rsid w:val="00E6394A"/>
    <w:rsid w:val="00E646DF"/>
    <w:rsid w:val="00E66B0D"/>
    <w:rsid w:val="00E9685F"/>
    <w:rsid w:val="00E96F79"/>
    <w:rsid w:val="00EA7DA1"/>
    <w:rsid w:val="00EB4D58"/>
    <w:rsid w:val="00EC5D62"/>
    <w:rsid w:val="00ED4A89"/>
    <w:rsid w:val="00EE5A8D"/>
    <w:rsid w:val="00EF0362"/>
    <w:rsid w:val="00EF427F"/>
    <w:rsid w:val="00F01F62"/>
    <w:rsid w:val="00F06225"/>
    <w:rsid w:val="00F0794F"/>
    <w:rsid w:val="00F10DA8"/>
    <w:rsid w:val="00F162D1"/>
    <w:rsid w:val="00F2023D"/>
    <w:rsid w:val="00F20BD8"/>
    <w:rsid w:val="00F4150B"/>
    <w:rsid w:val="00F45001"/>
    <w:rsid w:val="00F52222"/>
    <w:rsid w:val="00F658C4"/>
    <w:rsid w:val="00F71368"/>
    <w:rsid w:val="00F84274"/>
    <w:rsid w:val="00F86726"/>
    <w:rsid w:val="00F92158"/>
    <w:rsid w:val="00F94D05"/>
    <w:rsid w:val="00FB19D2"/>
    <w:rsid w:val="00FB1D6E"/>
    <w:rsid w:val="00FB5235"/>
    <w:rsid w:val="00FC1372"/>
    <w:rsid w:val="00FC1BED"/>
    <w:rsid w:val="00FC431B"/>
    <w:rsid w:val="00FD1005"/>
    <w:rsid w:val="00FD5D46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4B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32"/>
    <w:rPr>
      <w:sz w:val="24"/>
      <w:szCs w:val="24"/>
    </w:rPr>
  </w:style>
  <w:style w:type="paragraph" w:styleId="Heading1">
    <w:name w:val="heading 1"/>
    <w:basedOn w:val="Normal"/>
    <w:qFormat/>
    <w:rsid w:val="005709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B6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709C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709CC"/>
    <w:rPr>
      <w:b/>
      <w:bCs/>
    </w:rPr>
  </w:style>
  <w:style w:type="character" w:customStyle="1" w:styleId="textit">
    <w:name w:val="textit"/>
    <w:basedOn w:val="DefaultParagraphFont"/>
    <w:rsid w:val="005709CC"/>
  </w:style>
  <w:style w:type="paragraph" w:customStyle="1" w:styleId="Default">
    <w:name w:val="Default"/>
    <w:rsid w:val="00F162D1"/>
    <w:pPr>
      <w:autoSpaceDE w:val="0"/>
      <w:autoSpaceDN w:val="0"/>
      <w:adjustRightInd w:val="0"/>
    </w:pPr>
    <w:rPr>
      <w:rFonts w:ascii="URW Bookman L" w:hAnsi="URW Bookman L" w:cs="URW Bookman 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F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C112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C11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uiPriority w:val="63"/>
    <w:rsid w:val="00C11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112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70C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C2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F6A08"/>
    <w:rPr>
      <w:i/>
      <w:iCs/>
    </w:rPr>
  </w:style>
  <w:style w:type="table" w:styleId="LightShading">
    <w:name w:val="Light Shading"/>
    <w:basedOn w:val="TableNormal"/>
    <w:uiPriority w:val="60"/>
    <w:rsid w:val="00CB4E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32"/>
    <w:rPr>
      <w:sz w:val="24"/>
      <w:szCs w:val="24"/>
    </w:rPr>
  </w:style>
  <w:style w:type="paragraph" w:styleId="Heading1">
    <w:name w:val="heading 1"/>
    <w:basedOn w:val="Normal"/>
    <w:qFormat/>
    <w:rsid w:val="005709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B6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709C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709CC"/>
    <w:rPr>
      <w:b/>
      <w:bCs/>
    </w:rPr>
  </w:style>
  <w:style w:type="character" w:customStyle="1" w:styleId="textit">
    <w:name w:val="textit"/>
    <w:basedOn w:val="DefaultParagraphFont"/>
    <w:rsid w:val="005709CC"/>
  </w:style>
  <w:style w:type="paragraph" w:customStyle="1" w:styleId="Default">
    <w:name w:val="Default"/>
    <w:rsid w:val="00F162D1"/>
    <w:pPr>
      <w:autoSpaceDE w:val="0"/>
      <w:autoSpaceDN w:val="0"/>
      <w:adjustRightInd w:val="0"/>
    </w:pPr>
    <w:rPr>
      <w:rFonts w:ascii="URW Bookman L" w:hAnsi="URW Bookman L" w:cs="URW Bookman 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F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C112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C11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uiPriority w:val="63"/>
    <w:rsid w:val="00C11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112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70C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C2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F6A08"/>
    <w:rPr>
      <w:i/>
      <w:iCs/>
    </w:rPr>
  </w:style>
  <w:style w:type="table" w:styleId="LightShading">
    <w:name w:val="Light Shading"/>
    <w:basedOn w:val="TableNormal"/>
    <w:uiPriority w:val="60"/>
    <w:rsid w:val="00CB4E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464">
      <w:bodyDiv w:val="1"/>
      <w:marLeft w:val="2"/>
      <w:marRight w:val="2"/>
      <w:marTop w:val="480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ph.ox.ac.uk/upcoming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seminars@ndph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rdsemin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10/10</vt:lpstr>
    </vt:vector>
  </TitlesOfParts>
  <Company>Cancer Research UK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10/10</dc:title>
  <dc:creator>Andrew Roddam</dc:creator>
  <cp:lastModifiedBy>David Preiss</cp:lastModifiedBy>
  <cp:revision>2</cp:revision>
  <cp:lastPrinted>2016-04-15T11:40:00Z</cp:lastPrinted>
  <dcterms:created xsi:type="dcterms:W3CDTF">2019-01-02T17:29:00Z</dcterms:created>
  <dcterms:modified xsi:type="dcterms:W3CDTF">2019-01-02T17:29:00Z</dcterms:modified>
</cp:coreProperties>
</file>